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72114" w:rsidRDefault="00F92268" w:rsidP="00850792">
      <w:pPr>
        <w:pStyle w:val="BodyText"/>
        <w:rPr>
          <w:sz w:val="6"/>
          <w:szCs w:val="6"/>
        </w:rPr>
      </w:pPr>
      <w:r w:rsidRPr="0087211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p w14:paraId="612806A4" w14:textId="77777777" w:rsidR="00051356" w:rsidRDefault="00051356" w:rsidP="00A672B3">
      <w:pPr>
        <w:pStyle w:val="BodyText"/>
        <w:rPr>
          <w:b/>
          <w:bCs/>
          <w:sz w:val="16"/>
          <w:szCs w:val="16"/>
        </w:rPr>
      </w:pPr>
    </w:p>
    <w:p w14:paraId="74FBA5B4" w14:textId="77777777" w:rsidR="00D31331" w:rsidRPr="00872114" w:rsidRDefault="00D31331" w:rsidP="00A672B3">
      <w:pPr>
        <w:pStyle w:val="BodyText"/>
        <w:rPr>
          <w:b/>
          <w:bCs/>
          <w:sz w:val="16"/>
          <w:szCs w:val="16"/>
        </w:rPr>
        <w:sectPr w:rsidR="00D31331" w:rsidRPr="00872114" w:rsidSect="007E3253">
          <w:headerReference w:type="default" r:id="rId12"/>
          <w:footerReference w:type="default" r:id="rId13"/>
          <w:footerReference w:type="first" r:id="rId14"/>
          <w:pgSz w:w="12240" w:h="15840" w:code="1"/>
          <w:pgMar w:top="900" w:right="720" w:bottom="990" w:left="720" w:header="720" w:footer="807" w:gutter="0"/>
          <w:paperSrc w:first="15" w:other="15"/>
          <w:cols w:space="720"/>
          <w:docGrid w:linePitch="299"/>
        </w:sectPr>
      </w:pPr>
    </w:p>
    <w:p w14:paraId="3F4DE49F" w14:textId="724BD95A" w:rsidR="004B15BB" w:rsidRPr="00872114" w:rsidRDefault="0044040B" w:rsidP="007E5C16">
      <w:pPr>
        <w:pStyle w:val="Heading1"/>
      </w:pPr>
      <w:r w:rsidRPr="00872114">
        <w:t>Specialty Guideline Management</w:t>
      </w:r>
      <w:r w:rsidRPr="00872114">
        <w:br/>
      </w:r>
      <w:r w:rsidR="00503A01">
        <w:t xml:space="preserve">Tecentriq </w:t>
      </w:r>
      <w:proofErr w:type="spellStart"/>
      <w:r w:rsidR="00503A01">
        <w:t>Hybreza</w:t>
      </w:r>
      <w:proofErr w:type="spellEnd"/>
    </w:p>
    <w:p w14:paraId="78861C92" w14:textId="7A39A7A0" w:rsidR="00203468" w:rsidRDefault="00C64534" w:rsidP="008E0F0D">
      <w:pPr>
        <w:pStyle w:val="Heading2"/>
      </w:pPr>
      <w:r w:rsidRPr="00872114">
        <w:t xml:space="preserve">Products Referenced by this </w:t>
      </w:r>
      <w:r w:rsidR="00501602" w:rsidRPr="00872114">
        <w:t>Document</w:t>
      </w:r>
    </w:p>
    <w:p w14:paraId="73D40340" w14:textId="77777777" w:rsidR="002632CB" w:rsidRPr="002632CB" w:rsidRDefault="002632CB" w:rsidP="002632CB">
      <w:pPr>
        <w:pStyle w:val="BodyText"/>
      </w:pPr>
      <w:r w:rsidRPr="002632CB">
        <w:t>Drugs that are listed in the following table include both brand and generic and all dosage forms and strengths unless otherwise stated. Over-the-counter (OTC)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872114" w14:paraId="057AAA89" w14:textId="77777777">
        <w:trPr>
          <w:cantSplit/>
          <w:trHeight w:val="288"/>
          <w:tblHeader/>
        </w:trPr>
        <w:tc>
          <w:tcPr>
            <w:tcW w:w="5265" w:type="dxa"/>
            <w:vAlign w:val="center"/>
          </w:tcPr>
          <w:p w14:paraId="6CBFE1BD" w14:textId="77777777" w:rsidR="005B4D7C" w:rsidRPr="00872114" w:rsidRDefault="005B4D7C">
            <w:pPr>
              <w:pStyle w:val="TableHeader"/>
            </w:pPr>
            <w:r w:rsidRPr="00872114">
              <w:t>Brand Name</w:t>
            </w:r>
          </w:p>
        </w:tc>
        <w:tc>
          <w:tcPr>
            <w:tcW w:w="5595" w:type="dxa"/>
            <w:vAlign w:val="center"/>
          </w:tcPr>
          <w:p w14:paraId="18440B85" w14:textId="77777777" w:rsidR="005B4D7C" w:rsidRPr="00872114" w:rsidRDefault="005B4D7C">
            <w:pPr>
              <w:pStyle w:val="TableHeader"/>
            </w:pPr>
            <w:r w:rsidRPr="00872114">
              <w:t>Generic Name</w:t>
            </w:r>
          </w:p>
        </w:tc>
      </w:tr>
      <w:tr w:rsidR="005B4D7C" w:rsidRPr="00872114" w14:paraId="7742B1EC" w14:textId="77777777">
        <w:trPr>
          <w:cantSplit/>
        </w:trPr>
        <w:tc>
          <w:tcPr>
            <w:tcW w:w="5265" w:type="dxa"/>
          </w:tcPr>
          <w:p w14:paraId="4DED0C9B" w14:textId="76F3ADA6" w:rsidR="005B4D7C" w:rsidRPr="00872114" w:rsidRDefault="00503A01">
            <w:pPr>
              <w:pStyle w:val="TableDataUnpadded"/>
            </w:pPr>
            <w:r>
              <w:t xml:space="preserve">Tecentriq </w:t>
            </w:r>
            <w:proofErr w:type="spellStart"/>
            <w:r>
              <w:t>Hybreza</w:t>
            </w:r>
            <w:proofErr w:type="spellEnd"/>
          </w:p>
        </w:tc>
        <w:tc>
          <w:tcPr>
            <w:tcW w:w="5595" w:type="dxa"/>
          </w:tcPr>
          <w:p w14:paraId="1A09710D" w14:textId="13EC7509" w:rsidR="005B4D7C" w:rsidRPr="00872114" w:rsidRDefault="00503A01">
            <w:pPr>
              <w:pStyle w:val="TableDataUnpadded"/>
            </w:pPr>
            <w:r w:rsidRPr="00503A01">
              <w:t>atezolizumab and hyaluronidase-</w:t>
            </w:r>
            <w:proofErr w:type="spellStart"/>
            <w:r w:rsidRPr="00503A01">
              <w:t>tqjs</w:t>
            </w:r>
            <w:proofErr w:type="spellEnd"/>
          </w:p>
        </w:tc>
      </w:tr>
    </w:tbl>
    <w:p w14:paraId="14CE6108" w14:textId="12E50D40" w:rsidR="00FC1AAD" w:rsidRPr="00872114" w:rsidRDefault="00ED052F" w:rsidP="00AA2A94">
      <w:pPr>
        <w:pStyle w:val="Heading2"/>
        <w:tabs>
          <w:tab w:val="left" w:pos="9540"/>
        </w:tabs>
      </w:pPr>
      <w:r w:rsidRPr="00872114">
        <w:t xml:space="preserve">Indications </w:t>
      </w:r>
    </w:p>
    <w:p w14:paraId="679C067C" w14:textId="52C47ABA" w:rsidR="00074CCD" w:rsidRPr="00872114" w:rsidRDefault="00074CCD" w:rsidP="00074CCD">
      <w:pPr>
        <w:pStyle w:val="BodyText"/>
      </w:pPr>
      <w:r w:rsidRPr="00872114">
        <w:t>The indications below including FDA-approved indications and compendial uses are considered a covered benefit provided that all the approval criteria are met and the member has no exclusions to the prescribed therapy.</w:t>
      </w:r>
    </w:p>
    <w:p w14:paraId="134B5687" w14:textId="10E0B152" w:rsidR="00ED052F" w:rsidRPr="00872114" w:rsidRDefault="00074CCD" w:rsidP="00ED052F">
      <w:pPr>
        <w:pStyle w:val="Heading3"/>
        <w:keepNext w:val="0"/>
      </w:pPr>
      <w:r w:rsidRPr="00872114">
        <w:t>FDA-</w:t>
      </w:r>
      <w:r w:rsidR="002632CB">
        <w:t>a</w:t>
      </w:r>
      <w:r w:rsidRPr="00872114">
        <w:t>pproved Indications</w:t>
      </w:r>
      <w:r w:rsidRPr="00872114">
        <w:rPr>
          <w:vertAlign w:val="superscript"/>
        </w:rPr>
        <w:t>1</w:t>
      </w:r>
    </w:p>
    <w:p w14:paraId="4C03BF77" w14:textId="1155F81A" w:rsidR="00503A01" w:rsidRDefault="00503A01" w:rsidP="00503A01">
      <w:pPr>
        <w:pStyle w:val="ListParagraph"/>
      </w:pPr>
      <w:bookmarkStart w:id="0" w:name="OLE_LINK34"/>
      <w:bookmarkStart w:id="1" w:name="_Hlk178236056"/>
      <w:r>
        <w:t>Non-Small Cell Lung Cancer (NSCLC)</w:t>
      </w:r>
    </w:p>
    <w:p w14:paraId="75E572AB" w14:textId="535B1A2F" w:rsidR="00503A01" w:rsidRPr="00503A01" w:rsidRDefault="00503A01" w:rsidP="00503A01">
      <w:pPr>
        <w:pStyle w:val="ListParagraph"/>
        <w:numPr>
          <w:ilvl w:val="1"/>
          <w:numId w:val="21"/>
        </w:numPr>
      </w:pPr>
      <w:r w:rsidRPr="00503A01">
        <w:t>Tecentriq</w:t>
      </w:r>
      <w:r w:rsidR="00551518">
        <w:t xml:space="preserve"> </w:t>
      </w:r>
      <w:proofErr w:type="spellStart"/>
      <w:r w:rsidR="00551518">
        <w:t>Hybreza</w:t>
      </w:r>
      <w:proofErr w:type="spellEnd"/>
      <w:r w:rsidRPr="00503A01">
        <w:t xml:space="preserve">, </w:t>
      </w:r>
      <w:r>
        <w:t>as monotherapy</w:t>
      </w:r>
      <w:r w:rsidRPr="00503A01">
        <w:t xml:space="preserve">, is indicated as adjuvant treatment following resection and platinum-based chemotherapy for adult patients with stage II to IIIA NSCLC whose tumors have PD-L1 expression on </w:t>
      </w:r>
      <w:r w:rsidRPr="00503A01">
        <w:rPr>
          <w:rFonts w:ascii="Arial" w:hAnsi="Arial"/>
        </w:rPr>
        <w:t>≥</w:t>
      </w:r>
      <w:r w:rsidRPr="00503A01">
        <w:t xml:space="preserve"> 1% of tumor cells, as determined by an FDA-approved test.</w:t>
      </w:r>
    </w:p>
    <w:p w14:paraId="77B6B5B9" w14:textId="5F1D0AEE" w:rsidR="00503A01" w:rsidRPr="00503A01" w:rsidRDefault="00503A01" w:rsidP="00503A01">
      <w:pPr>
        <w:pStyle w:val="ListParagraph"/>
        <w:numPr>
          <w:ilvl w:val="1"/>
          <w:numId w:val="21"/>
        </w:numPr>
      </w:pPr>
      <w:bookmarkStart w:id="2" w:name="OLE_LINK35"/>
      <w:bookmarkEnd w:id="0"/>
      <w:r w:rsidRPr="00503A01">
        <w:t>Tecentriq</w:t>
      </w:r>
      <w:r w:rsidR="00551518">
        <w:t xml:space="preserve"> </w:t>
      </w:r>
      <w:proofErr w:type="spellStart"/>
      <w:r w:rsidR="00551518">
        <w:t>Hybreza</w:t>
      </w:r>
      <w:proofErr w:type="spellEnd"/>
      <w:r w:rsidRPr="00503A01">
        <w:t xml:space="preserve">, as </w:t>
      </w:r>
      <w:r>
        <w:t>monotherapy</w:t>
      </w:r>
      <w:r w:rsidRPr="00503A01">
        <w:t>, is indicated for the first</w:t>
      </w:r>
      <w:r w:rsidR="00750C2E">
        <w:t>-</w:t>
      </w:r>
      <w:r w:rsidRPr="00503A01">
        <w:t xml:space="preserve">line treatment of adult patients with metastatic NSCLC whose tumors have high PD-L1 expression (PD-L1 stained </w:t>
      </w:r>
      <w:r w:rsidRPr="00503A01">
        <w:rPr>
          <w:rFonts w:ascii="Arial" w:hAnsi="Arial"/>
        </w:rPr>
        <w:t>≥</w:t>
      </w:r>
      <w:r w:rsidRPr="00503A01">
        <w:t xml:space="preserve"> 50% of tumor cells [TC </w:t>
      </w:r>
      <w:r w:rsidRPr="00503A01">
        <w:rPr>
          <w:rFonts w:ascii="Arial" w:hAnsi="Arial"/>
        </w:rPr>
        <w:t>≥</w:t>
      </w:r>
      <w:r w:rsidRPr="00503A01">
        <w:t xml:space="preserve"> 50%] or PD-L1 stained tumor-infiltrating immune cells [IC] covering </w:t>
      </w:r>
      <w:r w:rsidRPr="00503A01">
        <w:rPr>
          <w:rFonts w:ascii="Arial" w:hAnsi="Arial"/>
        </w:rPr>
        <w:t>≥</w:t>
      </w:r>
      <w:r w:rsidRPr="00503A01">
        <w:t xml:space="preserve"> 10% of the tumor area [IC </w:t>
      </w:r>
      <w:r w:rsidRPr="00503A01">
        <w:rPr>
          <w:rFonts w:ascii="Arial" w:hAnsi="Arial"/>
        </w:rPr>
        <w:t>≥</w:t>
      </w:r>
      <w:r w:rsidRPr="00503A01">
        <w:t xml:space="preserve"> 10%]), as determined by an FDA-approved test, with no EGFR or ALK genomic tumor aberrations.</w:t>
      </w:r>
    </w:p>
    <w:bookmarkEnd w:id="2"/>
    <w:p w14:paraId="085BCF98" w14:textId="4DC952E8" w:rsidR="00503A01" w:rsidRPr="00503A01" w:rsidRDefault="00503A01" w:rsidP="00503A01">
      <w:pPr>
        <w:pStyle w:val="ListParagraph"/>
        <w:numPr>
          <w:ilvl w:val="1"/>
          <w:numId w:val="21"/>
        </w:numPr>
      </w:pPr>
      <w:r w:rsidRPr="00503A01">
        <w:t>Tecentriq</w:t>
      </w:r>
      <w:r w:rsidR="00551518">
        <w:t xml:space="preserve"> </w:t>
      </w:r>
      <w:proofErr w:type="spellStart"/>
      <w:r w:rsidR="00551518">
        <w:t>Hybreza</w:t>
      </w:r>
      <w:proofErr w:type="spellEnd"/>
      <w:r w:rsidRPr="00503A01">
        <w:t xml:space="preserve">, in combination with bevacizumab, paclitaxel, and carboplatin, is indicated </w:t>
      </w:r>
      <w:proofErr w:type="gramStart"/>
      <w:r w:rsidRPr="00503A01">
        <w:t>for the first-line treatment,</w:t>
      </w:r>
      <w:proofErr w:type="gramEnd"/>
      <w:r w:rsidRPr="00503A01">
        <w:t xml:space="preserve"> of adult patients with metastatic non-squamous NSCLC with no EGFR or ALK genomic tumor aberrations.</w:t>
      </w:r>
    </w:p>
    <w:p w14:paraId="1E2A4382" w14:textId="0F2A171C" w:rsidR="00503A01" w:rsidRPr="00503A01" w:rsidRDefault="00503A01" w:rsidP="00503A01">
      <w:pPr>
        <w:pStyle w:val="ListParagraph"/>
        <w:numPr>
          <w:ilvl w:val="1"/>
          <w:numId w:val="21"/>
        </w:numPr>
      </w:pPr>
      <w:r w:rsidRPr="00503A01">
        <w:lastRenderedPageBreak/>
        <w:t>Tecentriq</w:t>
      </w:r>
      <w:r w:rsidR="00551518">
        <w:t xml:space="preserve"> </w:t>
      </w:r>
      <w:proofErr w:type="spellStart"/>
      <w:r w:rsidR="00551518">
        <w:t>Hybreza</w:t>
      </w:r>
      <w:proofErr w:type="spellEnd"/>
      <w:r w:rsidRPr="00503A01">
        <w:t>, in combination with paclitaxel protein-bound and carboplatin, is indicated for the first-line treatment of adult patients with metastatic non-squamous NSCLC with no EGFR or ALK genomic tumor aberrations.</w:t>
      </w:r>
    </w:p>
    <w:p w14:paraId="47C56954" w14:textId="20226F3D" w:rsidR="00503A01" w:rsidRPr="00503A01" w:rsidRDefault="00503A01" w:rsidP="00503A01">
      <w:pPr>
        <w:pStyle w:val="ListParagraph"/>
        <w:numPr>
          <w:ilvl w:val="1"/>
          <w:numId w:val="21"/>
        </w:numPr>
      </w:pPr>
      <w:r w:rsidRPr="00503A01">
        <w:t>Tecentriq</w:t>
      </w:r>
      <w:r w:rsidR="00551518">
        <w:t xml:space="preserve"> </w:t>
      </w:r>
      <w:proofErr w:type="spellStart"/>
      <w:r w:rsidR="00551518">
        <w:t>Hybreza</w:t>
      </w:r>
      <w:proofErr w:type="spellEnd"/>
      <w:r w:rsidRPr="00503A01">
        <w:t xml:space="preserve"> as </w:t>
      </w:r>
      <w:r>
        <w:t>monotherapy,</w:t>
      </w:r>
      <w:r w:rsidRPr="00503A01">
        <w:t xml:space="preserve"> is indicated for the treatment of adult patients with metastatic NSCLC who have disease progression during or following platinum-containing chemotherapy. Patients with EGFR or ALK genomic tumor aberrations should have disease progression on FDA-approved therapy for NSCLC harboring these aberrations prior to receiving Tecentriq</w:t>
      </w:r>
      <w:r w:rsidR="00CE1153">
        <w:t xml:space="preserve"> </w:t>
      </w:r>
      <w:proofErr w:type="spellStart"/>
      <w:r w:rsidR="00CE1153">
        <w:t>Hybreza</w:t>
      </w:r>
      <w:proofErr w:type="spellEnd"/>
      <w:r w:rsidRPr="00503A01">
        <w:t>.</w:t>
      </w:r>
    </w:p>
    <w:p w14:paraId="4398E695" w14:textId="64489C09" w:rsidR="00AA3266" w:rsidRDefault="00503A01" w:rsidP="00D9342A">
      <w:pPr>
        <w:pStyle w:val="ListParagraph"/>
      </w:pPr>
      <w:r w:rsidRPr="00503A01">
        <w:t>Tecentriq</w:t>
      </w:r>
      <w:r w:rsidR="00551518">
        <w:t xml:space="preserve"> </w:t>
      </w:r>
      <w:proofErr w:type="spellStart"/>
      <w:r w:rsidR="00551518">
        <w:t>Hybreza</w:t>
      </w:r>
      <w:proofErr w:type="spellEnd"/>
      <w:r w:rsidRPr="00503A01">
        <w:t>, in combination with carboplatin and etoposide, is indicated for the first-line treatment of adult patients with extensive-stage small cell lung cancer (ES-SCLC).</w:t>
      </w:r>
    </w:p>
    <w:p w14:paraId="08098F83" w14:textId="01595003" w:rsidR="00503A01" w:rsidRDefault="00503A01" w:rsidP="00D9342A">
      <w:pPr>
        <w:pStyle w:val="ListParagraph"/>
      </w:pPr>
      <w:r w:rsidRPr="00503A01">
        <w:t>Tecentriq</w:t>
      </w:r>
      <w:r w:rsidR="00551518">
        <w:t xml:space="preserve"> </w:t>
      </w:r>
      <w:proofErr w:type="spellStart"/>
      <w:r w:rsidR="00551518">
        <w:t>Hybreza</w:t>
      </w:r>
      <w:proofErr w:type="spellEnd"/>
      <w:r w:rsidRPr="00503A01">
        <w:t xml:space="preserve">, in combination with bevacizumab, is indicated for the treatment of </w:t>
      </w:r>
      <w:r w:rsidR="00750C2E">
        <w:t xml:space="preserve">adult </w:t>
      </w:r>
      <w:r w:rsidRPr="00503A01">
        <w:t xml:space="preserve">patients with unresectable or metastatic </w:t>
      </w:r>
      <w:r w:rsidR="00B267C6">
        <w:t>hepatocellular carcinoma (</w:t>
      </w:r>
      <w:r w:rsidRPr="00503A01">
        <w:t>HCC</w:t>
      </w:r>
      <w:r w:rsidR="00B267C6">
        <w:t>)</w:t>
      </w:r>
      <w:r w:rsidRPr="00503A01">
        <w:t xml:space="preserve"> who have not received prior systemic therapy.</w:t>
      </w:r>
    </w:p>
    <w:p w14:paraId="56645B57" w14:textId="0669449A" w:rsidR="00503A01" w:rsidRDefault="00503A01" w:rsidP="00D9342A">
      <w:pPr>
        <w:pStyle w:val="ListParagraph"/>
      </w:pPr>
      <w:r w:rsidRPr="00503A01">
        <w:t>Tecentriq</w:t>
      </w:r>
      <w:r w:rsidR="00551518">
        <w:t xml:space="preserve"> </w:t>
      </w:r>
      <w:proofErr w:type="spellStart"/>
      <w:r w:rsidR="00551518">
        <w:t>Hybreza</w:t>
      </w:r>
      <w:proofErr w:type="spellEnd"/>
      <w:r w:rsidRPr="00503A01">
        <w:t xml:space="preserve">, in combination with cobimetinib and vemurafenib, is indicated for the treatment of </w:t>
      </w:r>
      <w:r w:rsidR="005825EC">
        <w:t xml:space="preserve">adult </w:t>
      </w:r>
      <w:r w:rsidRPr="00503A01">
        <w:t>patients with BRAF V600 mutation-positive unresectable or metastatic melanoma</w:t>
      </w:r>
      <w:r>
        <w:t xml:space="preserve"> </w:t>
      </w:r>
      <w:r w:rsidRPr="00503A01">
        <w:t>as determined by an FDA-approved test.</w:t>
      </w:r>
    </w:p>
    <w:p w14:paraId="15E28E85" w14:textId="07F45F90" w:rsidR="00503A01" w:rsidRPr="00872114" w:rsidRDefault="00503A01" w:rsidP="00D9342A">
      <w:pPr>
        <w:pStyle w:val="ListParagraph"/>
      </w:pPr>
      <w:r w:rsidRPr="00503A01">
        <w:t>Tecentriq</w:t>
      </w:r>
      <w:r w:rsidR="00551518">
        <w:t xml:space="preserve"> </w:t>
      </w:r>
      <w:proofErr w:type="spellStart"/>
      <w:r w:rsidR="00551518">
        <w:t>Hybreza</w:t>
      </w:r>
      <w:proofErr w:type="spellEnd"/>
      <w:r w:rsidRPr="00503A01">
        <w:t xml:space="preserve">, </w:t>
      </w:r>
      <w:r w:rsidR="00551518">
        <w:t>as monotherapy</w:t>
      </w:r>
      <w:r w:rsidRPr="00503A01">
        <w:t xml:space="preserve">, is indicated for the treatment of adult </w:t>
      </w:r>
      <w:r w:rsidR="005825EC">
        <w:t xml:space="preserve">patients </w:t>
      </w:r>
      <w:r w:rsidRPr="00503A01">
        <w:t xml:space="preserve">with unresectable or metastatic </w:t>
      </w:r>
      <w:r w:rsidR="00B267C6" w:rsidRPr="00B267C6">
        <w:t xml:space="preserve">alveolar soft part sarcoma </w:t>
      </w:r>
      <w:r w:rsidR="00B267C6">
        <w:t>(</w:t>
      </w:r>
      <w:r w:rsidRPr="00503A01">
        <w:t>ASPS</w:t>
      </w:r>
      <w:r w:rsidR="00B267C6">
        <w:t>)</w:t>
      </w:r>
      <w:r w:rsidRPr="00503A01">
        <w:t>.</w:t>
      </w:r>
    </w:p>
    <w:bookmarkEnd w:id="1"/>
    <w:p w14:paraId="515A3F27" w14:textId="7DC10455" w:rsidR="007802C3" w:rsidRDefault="007802C3">
      <w:pPr>
        <w:pStyle w:val="Heading3"/>
      </w:pPr>
      <w:r>
        <w:t>Compendial Use</w:t>
      </w:r>
      <w:r w:rsidR="00AC1F5B">
        <w:t>s</w:t>
      </w:r>
      <w:r>
        <w:rPr>
          <w:vertAlign w:val="superscript"/>
        </w:rPr>
        <w:t>2</w:t>
      </w:r>
    </w:p>
    <w:p w14:paraId="7C69CF57" w14:textId="77777777" w:rsidR="00AC1F5B" w:rsidRDefault="00AC1F5B" w:rsidP="00CE4A22">
      <w:pPr>
        <w:pStyle w:val="ListParagraph"/>
      </w:pPr>
      <w:r>
        <w:t>Non-small cell lung cancer</w:t>
      </w:r>
    </w:p>
    <w:p w14:paraId="55E85A72" w14:textId="3CB4A227" w:rsidR="007802C3" w:rsidRDefault="007802C3" w:rsidP="00CE4A22">
      <w:pPr>
        <w:pStyle w:val="ListParagraph"/>
      </w:pPr>
      <w:r>
        <w:t>Mesothelioma</w:t>
      </w:r>
    </w:p>
    <w:p w14:paraId="1BD30BC7" w14:textId="1AB34BE4" w:rsidR="00D10CCD" w:rsidRDefault="00D10CCD" w:rsidP="00CE4A22">
      <w:pPr>
        <w:pStyle w:val="ListParagraph"/>
      </w:pPr>
      <w:r>
        <w:t>Hepatocellular carcinoma</w:t>
      </w:r>
    </w:p>
    <w:p w14:paraId="7B0423E4" w14:textId="6B01EFF8" w:rsidR="0083036C" w:rsidRDefault="0083036C" w:rsidP="00CE4A22">
      <w:pPr>
        <w:pStyle w:val="ListParagraph"/>
      </w:pPr>
      <w:r>
        <w:t>Cervical cancer</w:t>
      </w:r>
    </w:p>
    <w:p w14:paraId="3E5AB96E" w14:textId="05B1D2C2" w:rsidR="00AA3266" w:rsidRPr="00872114" w:rsidRDefault="005352B4" w:rsidP="005352B4">
      <w:pPr>
        <w:pStyle w:val="Heading2"/>
      </w:pPr>
      <w:r w:rsidRPr="00872114">
        <w:t>Documentation</w:t>
      </w:r>
    </w:p>
    <w:p w14:paraId="398879A5" w14:textId="77777777" w:rsidR="00AA3266" w:rsidRDefault="00AA3266" w:rsidP="005352B4">
      <w:pPr>
        <w:pStyle w:val="BodyText"/>
      </w:pPr>
      <w:r w:rsidRPr="00872114">
        <w:t>Submission of the following information is necessary to initiate the prior authorization review:</w:t>
      </w:r>
    </w:p>
    <w:p w14:paraId="6926B4E4" w14:textId="77777777" w:rsidR="00F22499" w:rsidRDefault="00F22499" w:rsidP="00CE4A22">
      <w:pPr>
        <w:pStyle w:val="ListParagraph"/>
      </w:pPr>
      <w:r>
        <w:t>Test results confirming PD-L1 tumor expression (where applicable)</w:t>
      </w:r>
    </w:p>
    <w:p w14:paraId="0CF67EA0" w14:textId="77777777" w:rsidR="00F22499" w:rsidRDefault="00F22499" w:rsidP="00CE4A22">
      <w:pPr>
        <w:pStyle w:val="ListParagraph"/>
      </w:pPr>
      <w:r>
        <w:t>Test results confirming tumor is positive for BRAF V600 mutation (where applicable)</w:t>
      </w:r>
    </w:p>
    <w:p w14:paraId="5CBC7BAC" w14:textId="53DAA326" w:rsidR="001507C0" w:rsidRPr="001507C0" w:rsidRDefault="001507C0" w:rsidP="00CE4A22">
      <w:pPr>
        <w:pStyle w:val="ListParagraph"/>
        <w:rPr>
          <w:color w:val="auto"/>
        </w:rPr>
      </w:pPr>
      <w:r w:rsidRPr="001507C0">
        <w:rPr>
          <w:color w:val="auto"/>
        </w:rPr>
        <w:t xml:space="preserve">Test results confirming </w:t>
      </w:r>
      <w:r w:rsidR="00750C2E">
        <w:rPr>
          <w:color w:val="auto"/>
        </w:rPr>
        <w:t>the absence</w:t>
      </w:r>
      <w:r w:rsidRPr="001507C0">
        <w:rPr>
          <w:color w:val="auto"/>
        </w:rPr>
        <w:t xml:space="preserve"> of EGFR exon 19 deletion</w:t>
      </w:r>
      <w:r w:rsidR="00750C2E">
        <w:rPr>
          <w:color w:val="auto"/>
        </w:rPr>
        <w:t>,</w:t>
      </w:r>
      <w:r w:rsidRPr="001507C0">
        <w:rPr>
          <w:color w:val="auto"/>
        </w:rPr>
        <w:t xml:space="preserve"> L858R mutations</w:t>
      </w:r>
      <w:r w:rsidR="00750C2E">
        <w:rPr>
          <w:color w:val="auto"/>
        </w:rPr>
        <w:t>, and</w:t>
      </w:r>
      <w:r w:rsidRPr="001507C0">
        <w:rPr>
          <w:color w:val="auto"/>
        </w:rPr>
        <w:t xml:space="preserve"> ALK rearrangements (where applicable)</w:t>
      </w:r>
    </w:p>
    <w:p w14:paraId="1A10A472" w14:textId="57E33A3A" w:rsidR="00AA3266" w:rsidRPr="00872114" w:rsidRDefault="005352B4" w:rsidP="005352B4">
      <w:pPr>
        <w:pStyle w:val="Heading2"/>
      </w:pPr>
      <w:r w:rsidRPr="00872114">
        <w:t>Exclusions</w:t>
      </w:r>
    </w:p>
    <w:p w14:paraId="0B816296" w14:textId="77777777" w:rsidR="00AA3266" w:rsidRPr="00872114" w:rsidRDefault="00AA3266" w:rsidP="002632CB">
      <w:pPr>
        <w:pStyle w:val="BodyText"/>
        <w:spacing w:after="0"/>
      </w:pPr>
      <w:r w:rsidRPr="00872114">
        <w:t>Coverage will not be provided for members who have experienced disease progression while on PD-1 or PD-L1 inhibitor therapy.</w:t>
      </w:r>
    </w:p>
    <w:p w14:paraId="5EFE3F94" w14:textId="11EF09D0" w:rsidR="00AA3266" w:rsidRPr="00872114" w:rsidRDefault="005352B4" w:rsidP="002632CB">
      <w:pPr>
        <w:pStyle w:val="Heading2"/>
        <w:keepNext w:val="0"/>
        <w:widowControl w:val="0"/>
      </w:pPr>
      <w:r w:rsidRPr="00872114">
        <w:t>Coverage Criteria</w:t>
      </w:r>
    </w:p>
    <w:p w14:paraId="5AD9FB8A" w14:textId="0BE6C517" w:rsidR="00AA3266" w:rsidRPr="00872114" w:rsidRDefault="00F22499" w:rsidP="002632CB">
      <w:pPr>
        <w:pStyle w:val="Heading3"/>
        <w:keepNext w:val="0"/>
        <w:keepLines w:val="0"/>
        <w:widowControl w:val="0"/>
      </w:pPr>
      <w:proofErr w:type="spellStart"/>
      <w:r>
        <w:t>Non Small</w:t>
      </w:r>
      <w:proofErr w:type="spellEnd"/>
      <w:r>
        <w:t xml:space="preserve"> Cell Lung Cancer (NSCLC)</w:t>
      </w:r>
      <w:r w:rsidR="00AA3266" w:rsidRPr="00872114">
        <w:t xml:space="preserve"> </w:t>
      </w:r>
      <w:r w:rsidR="00AA3266" w:rsidRPr="00872114">
        <w:rPr>
          <w:vertAlign w:val="superscript"/>
        </w:rPr>
        <w:t>1</w:t>
      </w:r>
      <w:r w:rsidR="00AC1F5B">
        <w:rPr>
          <w:vertAlign w:val="superscript"/>
        </w:rPr>
        <w:t>,2</w:t>
      </w:r>
      <w:r w:rsidR="00AA3266" w:rsidRPr="00872114">
        <w:t xml:space="preserve"> </w:t>
      </w:r>
    </w:p>
    <w:p w14:paraId="77F0AADC" w14:textId="7598EDB1" w:rsidR="00AA3266" w:rsidRDefault="004C58BE" w:rsidP="00E94FF2">
      <w:pPr>
        <w:pStyle w:val="ListParagraph"/>
        <w:numPr>
          <w:ilvl w:val="0"/>
          <w:numId w:val="40"/>
        </w:numPr>
      </w:pPr>
      <w:bookmarkStart w:id="3" w:name="OLE_LINK57"/>
      <w:r w:rsidRPr="004C58BE">
        <w:t>Authorization of 6 months may be granted for treatment of recurrent, advanced or metastatic non-small cell lung cancer when there are no EGFR exon 19 deletions or L858R mutations or ALK rearrangements (unless testing is not feasible due to insufficient tissue) and any of the following criteria are met</w:t>
      </w:r>
      <w:r w:rsidR="00AA401C">
        <w:t>:</w:t>
      </w:r>
    </w:p>
    <w:p w14:paraId="4FD9F60B" w14:textId="77777777" w:rsidR="004C58BE" w:rsidRDefault="004C58BE" w:rsidP="00E94FF2">
      <w:pPr>
        <w:pStyle w:val="ListParagraph"/>
        <w:numPr>
          <w:ilvl w:val="1"/>
          <w:numId w:val="40"/>
        </w:numPr>
      </w:pPr>
      <w:r>
        <w:t>The requested medication will be used as continued maintenance therapy as a single agent or in combination with bevacizumab.</w:t>
      </w:r>
    </w:p>
    <w:p w14:paraId="77C0D9B6" w14:textId="7BF97ABC" w:rsidR="004C58BE" w:rsidRDefault="004C58BE" w:rsidP="00E94FF2">
      <w:pPr>
        <w:pStyle w:val="ListParagraph"/>
        <w:numPr>
          <w:ilvl w:val="1"/>
          <w:numId w:val="40"/>
        </w:numPr>
      </w:pPr>
      <w:r>
        <w:t>The requested medication will be used as first line or subsequent therapy in combination with chemotherapy with or without bevacizumab.</w:t>
      </w:r>
    </w:p>
    <w:p w14:paraId="7F05A207" w14:textId="41CD4C6B" w:rsidR="00E94FF2" w:rsidRDefault="004C58BE" w:rsidP="00E94FF2">
      <w:pPr>
        <w:pStyle w:val="ListParagraph"/>
        <w:numPr>
          <w:ilvl w:val="1"/>
          <w:numId w:val="40"/>
        </w:numPr>
      </w:pPr>
      <w:r>
        <w:t>The requested medication will be used as first line therapy as a single agent.</w:t>
      </w:r>
    </w:p>
    <w:p w14:paraId="42D1A064" w14:textId="5FB8F18C" w:rsidR="004C58BE" w:rsidRDefault="004C58BE" w:rsidP="004C58BE">
      <w:pPr>
        <w:pStyle w:val="ListParagraph"/>
        <w:numPr>
          <w:ilvl w:val="0"/>
          <w:numId w:val="40"/>
        </w:numPr>
      </w:pPr>
      <w:r w:rsidRPr="004C58BE">
        <w:t>Authorization of 6 months may be granted for treatment of stage II to III non-small cell lung cancer that is PD-L1 positive as single agent adjuvant therapy</w:t>
      </w:r>
      <w:r w:rsidR="00E94FF2" w:rsidRPr="00E94FF2">
        <w:t xml:space="preserve"> </w:t>
      </w:r>
      <w:r w:rsidR="00E94FF2" w:rsidRPr="009B77F7">
        <w:t>when there are no EGFR exon 19 deletions or L858R mutations or ALK rearrangements (unless testing is not feasible due to insufficient tissue)</w:t>
      </w:r>
      <w:r w:rsidRPr="004C58BE">
        <w:t>.</w:t>
      </w:r>
      <w:bookmarkEnd w:id="3"/>
    </w:p>
    <w:p w14:paraId="17755805" w14:textId="1A581FEB" w:rsidR="004C58BE" w:rsidRPr="004C58BE" w:rsidRDefault="004C58BE" w:rsidP="004C58BE">
      <w:pPr>
        <w:pStyle w:val="ListParagraph"/>
        <w:numPr>
          <w:ilvl w:val="0"/>
          <w:numId w:val="40"/>
        </w:numPr>
      </w:pPr>
      <w:r w:rsidRPr="004C58BE">
        <w:t>Authorization of 6 months may be granted for treatment of recurrent, advanced or metastatic non-small cell lung cancer as single agent subsequent therapy.</w:t>
      </w:r>
    </w:p>
    <w:p w14:paraId="7C823593" w14:textId="2CE684A5" w:rsidR="00AA3266" w:rsidRPr="00872114" w:rsidRDefault="00AA3266" w:rsidP="005352B4">
      <w:pPr>
        <w:pStyle w:val="Heading3"/>
      </w:pPr>
      <w:r w:rsidRPr="00872114">
        <w:t>S</w:t>
      </w:r>
      <w:r w:rsidR="00CB0CCB">
        <w:t>mall Cell Lung Cancer (SCLC)</w:t>
      </w:r>
      <w:r w:rsidR="00AD7851" w:rsidRPr="00872114">
        <w:rPr>
          <w:vertAlign w:val="superscript"/>
        </w:rPr>
        <w:t>1</w:t>
      </w:r>
      <w:r w:rsidR="00D55D1C">
        <w:rPr>
          <w:vertAlign w:val="superscript"/>
        </w:rPr>
        <w:t>,2</w:t>
      </w:r>
    </w:p>
    <w:p w14:paraId="2A4E551F" w14:textId="528D1254" w:rsidR="00AA3266" w:rsidRPr="00872114" w:rsidRDefault="00AA3266" w:rsidP="005352B4">
      <w:pPr>
        <w:pStyle w:val="BodyText"/>
      </w:pPr>
      <w:r w:rsidRPr="00872114">
        <w:t xml:space="preserve">Authorization of 6 months may be granted </w:t>
      </w:r>
      <w:r w:rsidR="00CB0CCB" w:rsidRPr="00CB0CCB">
        <w:t xml:space="preserve">for treatment of </w:t>
      </w:r>
      <w:r w:rsidR="00597863">
        <w:t>SCLC</w:t>
      </w:r>
      <w:r w:rsidR="00CB0CCB" w:rsidRPr="00CB0CCB">
        <w:t xml:space="preserve"> when the requested medication will be used as initial treatment in combination with etoposide and carboplatin</w:t>
      </w:r>
      <w:r w:rsidR="00375EDA" w:rsidRPr="00375EDA">
        <w:t xml:space="preserve"> </w:t>
      </w:r>
      <w:r w:rsidR="00D55D1C" w:rsidRPr="0083036C">
        <w:t>(followed by single agent maintenance)</w:t>
      </w:r>
      <w:r w:rsidR="00D55D1C">
        <w:t xml:space="preserve"> </w:t>
      </w:r>
      <w:r w:rsidR="00CB0CCB" w:rsidRPr="00CB0CCB">
        <w:t>for extensive-stage disease.</w:t>
      </w:r>
    </w:p>
    <w:p w14:paraId="7B7FD10D" w14:textId="227B7BA5" w:rsidR="00AA3266" w:rsidRPr="00872114" w:rsidRDefault="00CB0CCB" w:rsidP="005352B4">
      <w:pPr>
        <w:pStyle w:val="Heading3"/>
      </w:pPr>
      <w:r>
        <w:t>Hepatocellular Carcinoma</w:t>
      </w:r>
      <w:r w:rsidR="009B6859">
        <w:t xml:space="preserve"> (HCC)</w:t>
      </w:r>
      <w:r>
        <w:rPr>
          <w:vertAlign w:val="superscript"/>
        </w:rPr>
        <w:t>1</w:t>
      </w:r>
      <w:r w:rsidR="00D10CCD">
        <w:rPr>
          <w:vertAlign w:val="superscript"/>
        </w:rPr>
        <w:t>,2</w:t>
      </w:r>
    </w:p>
    <w:p w14:paraId="09577075" w14:textId="6BC9BFD2" w:rsidR="005825EC" w:rsidRDefault="00CB0CCB" w:rsidP="008A706E">
      <w:pPr>
        <w:pStyle w:val="BodyText"/>
        <w:numPr>
          <w:ilvl w:val="0"/>
          <w:numId w:val="47"/>
        </w:numPr>
      </w:pPr>
      <w:bookmarkStart w:id="4" w:name="_Hlk177996687"/>
      <w:r w:rsidRPr="00CB0CCB">
        <w:t>Authorization of 6 months may be granted</w:t>
      </w:r>
      <w:r w:rsidR="005825EC">
        <w:t xml:space="preserve"> in</w:t>
      </w:r>
      <w:r w:rsidRPr="00CB0CCB">
        <w:t xml:space="preserve"> </w:t>
      </w:r>
      <w:r w:rsidR="005825EC" w:rsidRPr="008A706E">
        <w:t>combination with bevacizumab</w:t>
      </w:r>
      <w:r w:rsidR="005825EC" w:rsidRPr="00CB0CCB">
        <w:t xml:space="preserve"> </w:t>
      </w:r>
      <w:r w:rsidRPr="00CB0CCB">
        <w:t xml:space="preserve">for </w:t>
      </w:r>
      <w:r w:rsidR="00432937">
        <w:t xml:space="preserve">first-line </w:t>
      </w:r>
      <w:r w:rsidRPr="00CB0CCB">
        <w:t xml:space="preserve">treatment of </w:t>
      </w:r>
      <w:r w:rsidR="008A706E" w:rsidRPr="008A706E">
        <w:t>unresectable</w:t>
      </w:r>
      <w:r w:rsidR="00375EDA">
        <w:t xml:space="preserve"> </w:t>
      </w:r>
      <w:r w:rsidR="005825EC">
        <w:t xml:space="preserve">or </w:t>
      </w:r>
      <w:r w:rsidR="008A706E" w:rsidRPr="008A706E">
        <w:t>metastatic HCC</w:t>
      </w:r>
      <w:r w:rsidR="002D4F92">
        <w:t>.</w:t>
      </w:r>
    </w:p>
    <w:p w14:paraId="7727167D" w14:textId="7BABBDC1" w:rsidR="008A706E" w:rsidRPr="00872114" w:rsidRDefault="008A706E" w:rsidP="008A706E">
      <w:pPr>
        <w:pStyle w:val="BodyText"/>
        <w:numPr>
          <w:ilvl w:val="0"/>
          <w:numId w:val="47"/>
        </w:numPr>
      </w:pPr>
      <w:bookmarkStart w:id="5" w:name="_Hlk178062660"/>
      <w:r>
        <w:t xml:space="preserve">Authorization of 6 months may be granted </w:t>
      </w:r>
      <w:r w:rsidR="00375EDA">
        <w:t xml:space="preserve">in combination with bevacizumab </w:t>
      </w:r>
      <w:r>
        <w:t>for adjuvant treatment following resection or ablation.</w:t>
      </w:r>
    </w:p>
    <w:bookmarkEnd w:id="4"/>
    <w:bookmarkEnd w:id="5"/>
    <w:p w14:paraId="017B3490" w14:textId="5284726B" w:rsidR="00AA3266" w:rsidRPr="00872114" w:rsidRDefault="0024644C" w:rsidP="005352B4">
      <w:pPr>
        <w:pStyle w:val="Heading3"/>
      </w:pPr>
      <w:r>
        <w:t>Melanoma</w:t>
      </w:r>
      <w:r>
        <w:rPr>
          <w:vertAlign w:val="superscript"/>
        </w:rPr>
        <w:t>1</w:t>
      </w:r>
      <w:r w:rsidR="004424D5">
        <w:rPr>
          <w:vertAlign w:val="superscript"/>
        </w:rPr>
        <w:t>,2</w:t>
      </w:r>
    </w:p>
    <w:p w14:paraId="6E9C38D3" w14:textId="5F61101D" w:rsidR="00AA3266" w:rsidRPr="00872114" w:rsidRDefault="0024644C" w:rsidP="00A50849">
      <w:pPr>
        <w:pStyle w:val="BodyText"/>
      </w:pPr>
      <w:bookmarkStart w:id="6" w:name="_Hlk177996733"/>
      <w:r w:rsidRPr="0024644C">
        <w:t>Authorization of 6 months may be granted for the treatment of BRAF V600 mutation-positive unresectable or metastatic melanoma when the requested medication will be used in combination with cobimetinib (Cotellic) and vemurafenib (Zelboraf).</w:t>
      </w:r>
    </w:p>
    <w:bookmarkEnd w:id="6"/>
    <w:p w14:paraId="0C5914FE" w14:textId="3E265939" w:rsidR="00AA3266" w:rsidRPr="00872114" w:rsidRDefault="0024644C" w:rsidP="00A50849">
      <w:pPr>
        <w:pStyle w:val="Heading3"/>
      </w:pPr>
      <w:r>
        <w:t xml:space="preserve">Alveolar </w:t>
      </w:r>
      <w:bookmarkStart w:id="7" w:name="_Hlk177996772"/>
      <w:r>
        <w:t>Soft Part Sarcoma (ASPS</w:t>
      </w:r>
      <w:bookmarkEnd w:id="7"/>
      <w:r>
        <w:t>)</w:t>
      </w:r>
      <w:r>
        <w:rPr>
          <w:vertAlign w:val="superscript"/>
        </w:rPr>
        <w:t>1</w:t>
      </w:r>
      <w:r w:rsidR="004424D5">
        <w:rPr>
          <w:vertAlign w:val="superscript"/>
        </w:rPr>
        <w:t>,2</w:t>
      </w:r>
    </w:p>
    <w:p w14:paraId="5474C9FA" w14:textId="67C7896B" w:rsidR="00AA3266" w:rsidRPr="00872114" w:rsidRDefault="0024644C" w:rsidP="003751C2">
      <w:pPr>
        <w:pStyle w:val="BodyText"/>
      </w:pPr>
      <w:bookmarkStart w:id="8" w:name="OLE_LINK48"/>
      <w:r w:rsidRPr="0024644C">
        <w:t xml:space="preserve">Authorization of 6 months may be granted for the treatment of unresectable or metastatic </w:t>
      </w:r>
      <w:r w:rsidR="009B6859">
        <w:t>ASPS</w:t>
      </w:r>
      <w:r w:rsidRPr="0024644C">
        <w:t xml:space="preserve"> when used as a single agent.</w:t>
      </w:r>
    </w:p>
    <w:bookmarkEnd w:id="8"/>
    <w:p w14:paraId="78BD90F3" w14:textId="5F8A8E22" w:rsidR="007802C3" w:rsidRDefault="007802C3">
      <w:pPr>
        <w:pStyle w:val="Heading3"/>
      </w:pPr>
      <w:r>
        <w:t>Mesothelioma</w:t>
      </w:r>
      <w:r>
        <w:rPr>
          <w:vertAlign w:val="superscript"/>
        </w:rPr>
        <w:t>2</w:t>
      </w:r>
    </w:p>
    <w:p w14:paraId="5E5D8C5B" w14:textId="60FD363C" w:rsidR="007802C3" w:rsidRPr="007802C3" w:rsidRDefault="007802C3" w:rsidP="007802C3">
      <w:pPr>
        <w:pStyle w:val="BodyText"/>
      </w:pPr>
      <w:r w:rsidRPr="007802C3">
        <w:t>Authorization of 6 months may be granted for the subsequent treatment of peritoneal mesothelioma, pericardial mesothelioma, or tunica vaginalis testis mesothelioma when used in combination with bevacizumab.</w:t>
      </w:r>
    </w:p>
    <w:p w14:paraId="277DBDA0" w14:textId="04072EB9" w:rsidR="0083036C" w:rsidRDefault="0083036C">
      <w:pPr>
        <w:pStyle w:val="Heading3"/>
      </w:pPr>
      <w:r>
        <w:t>Cervical Cancer</w:t>
      </w:r>
      <w:r>
        <w:rPr>
          <w:vertAlign w:val="superscript"/>
        </w:rPr>
        <w:t>2</w:t>
      </w:r>
    </w:p>
    <w:p w14:paraId="6C3D48F0" w14:textId="727E8152" w:rsidR="00AA7BA2" w:rsidRDefault="0083036C" w:rsidP="0083036C">
      <w:pPr>
        <w:pStyle w:val="BodyText"/>
      </w:pPr>
      <w:r w:rsidRPr="0083036C">
        <w:t xml:space="preserve">Authorization of </w:t>
      </w:r>
      <w:r w:rsidR="00BC2491">
        <w:t>6</w:t>
      </w:r>
      <w:r w:rsidRPr="0083036C">
        <w:t xml:space="preserve"> months may be granted for the treatment of </w:t>
      </w:r>
      <w:r w:rsidR="00AA7BA2">
        <w:t>cervical cancer when either of the following criteria is met:</w:t>
      </w:r>
    </w:p>
    <w:p w14:paraId="427179FF" w14:textId="087CE0C3" w:rsidR="0083036C" w:rsidRDefault="00DB76E3" w:rsidP="00E173F5">
      <w:pPr>
        <w:pStyle w:val="ListParagraph"/>
      </w:pPr>
      <w:r>
        <w:t xml:space="preserve">The member has </w:t>
      </w:r>
      <w:r w:rsidR="0083036C" w:rsidRPr="0083036C">
        <w:t>persistent, recurrent or metastatic small cell neuroendocrine carcinoma of the cervix (NECC) when used in combination with etoposide and either cisplatin or carboplatin</w:t>
      </w:r>
      <w:r w:rsidR="0083036C">
        <w:t xml:space="preserve"> </w:t>
      </w:r>
      <w:r w:rsidR="0083036C" w:rsidRPr="0083036C">
        <w:t>(followed by single agent maintenance)</w:t>
      </w:r>
      <w:r w:rsidR="0083036C">
        <w:t>.</w:t>
      </w:r>
    </w:p>
    <w:p w14:paraId="08DA60A8" w14:textId="77777777" w:rsidR="00943AF7" w:rsidRDefault="00DB76E3" w:rsidP="00E173F5">
      <w:pPr>
        <w:pStyle w:val="ListParagraph"/>
      </w:pPr>
      <w:r>
        <w:t xml:space="preserve">The member has recurrent </w:t>
      </w:r>
      <w:r w:rsidR="00DF7DD5">
        <w:t xml:space="preserve">or metastatic adenocarcinoma, adenosquamous, or squamous cell carcinoma and the requested </w:t>
      </w:r>
      <w:proofErr w:type="spellStart"/>
      <w:r w:rsidR="00DF7DD5">
        <w:t>medicaion</w:t>
      </w:r>
      <w:proofErr w:type="spellEnd"/>
      <w:r w:rsidR="00DF7DD5">
        <w:t xml:space="preserve"> will be used in combination with bevacizumab, paclitaxel, and either cisplatin or carboplatin (may be used in combination with bevacizumab for maintenance).</w:t>
      </w:r>
    </w:p>
    <w:p w14:paraId="5D7F61E4" w14:textId="25675952" w:rsidR="00AA3266" w:rsidRPr="00872114" w:rsidRDefault="00AD7851" w:rsidP="00A50849">
      <w:pPr>
        <w:pStyle w:val="Heading2"/>
      </w:pPr>
      <w:r w:rsidRPr="00872114">
        <w:t xml:space="preserve">Continuation </w:t>
      </w:r>
      <w:r w:rsidR="00032A8C">
        <w:t>o</w:t>
      </w:r>
      <w:r w:rsidRPr="00872114">
        <w:t>f Therapy</w:t>
      </w:r>
    </w:p>
    <w:p w14:paraId="7566C180" w14:textId="1FD8CCEA" w:rsidR="00E225DC" w:rsidRDefault="00E225DC" w:rsidP="0024644C">
      <w:pPr>
        <w:pStyle w:val="Heading3"/>
      </w:pPr>
      <w:r w:rsidRPr="00E225DC">
        <w:t xml:space="preserve">Adjuvant treatment of </w:t>
      </w:r>
      <w:r w:rsidR="00412BDB">
        <w:t xml:space="preserve">Hepatocellular Carcinoma (HCC) or </w:t>
      </w:r>
      <w:r w:rsidRPr="00E225DC">
        <w:t>Non-Small Cell Lung Cancer (NSCLC)</w:t>
      </w:r>
    </w:p>
    <w:p w14:paraId="6349480C" w14:textId="72566933" w:rsidR="00E225DC" w:rsidRPr="0024644C" w:rsidRDefault="00E225DC" w:rsidP="004F5389">
      <w:pPr>
        <w:pStyle w:val="BodyText"/>
      </w:pPr>
      <w:r w:rsidRPr="00872114">
        <w:t xml:space="preserve">Authorization of 6 months may be granted </w:t>
      </w:r>
      <w:r w:rsidRPr="00E225DC">
        <w:t xml:space="preserve">(up to 12 months total) for continued treatment in members requesting reauthorization of adjuvant therapy of </w:t>
      </w:r>
      <w:r w:rsidR="00412BDB">
        <w:t>h</w:t>
      </w:r>
      <w:r w:rsidR="00412BDB" w:rsidRPr="00412BDB">
        <w:t xml:space="preserve">epatocellular </w:t>
      </w:r>
      <w:r w:rsidR="00412BDB">
        <w:t>c</w:t>
      </w:r>
      <w:r w:rsidR="00412BDB" w:rsidRPr="00412BDB">
        <w:t>arcinoma</w:t>
      </w:r>
      <w:r w:rsidR="00412BDB">
        <w:t xml:space="preserve"> </w:t>
      </w:r>
      <w:r w:rsidR="00412BDB" w:rsidRPr="00412BDB">
        <w:t xml:space="preserve">or </w:t>
      </w:r>
      <w:r w:rsidRPr="00E225DC">
        <w:t>non-small cell lung cancer who have not experienced disease recurrence or an unacceptable toxicity.</w:t>
      </w:r>
    </w:p>
    <w:p w14:paraId="76B54D52" w14:textId="77777777" w:rsidR="00E225DC" w:rsidRPr="00E225DC" w:rsidRDefault="00E225DC" w:rsidP="0024644C">
      <w:pPr>
        <w:pStyle w:val="Heading3"/>
        <w:rPr>
          <w:color w:val="222222"/>
        </w:rPr>
      </w:pPr>
      <w:r>
        <w:t>All other indications</w:t>
      </w:r>
    </w:p>
    <w:p w14:paraId="48AE718C" w14:textId="3F41F262" w:rsidR="002239F5" w:rsidRPr="00872114" w:rsidRDefault="00E225DC" w:rsidP="004F5389">
      <w:pPr>
        <w:pStyle w:val="BodyText"/>
      </w:pPr>
      <w:r w:rsidRPr="00E225DC">
        <w:t>Authorization of 6 months may be granted for continued treatment in members requesting reauthorization for an indication listed in the coverage criteria section when there is no evidence of unacceptable toxicity or disease progression while on the current regimen</w:t>
      </w:r>
      <w:r>
        <w:t>.</w:t>
      </w:r>
    </w:p>
    <w:p w14:paraId="24404D4B" w14:textId="1FA22243" w:rsidR="00AA3266" w:rsidRPr="00872114" w:rsidRDefault="00AD7851" w:rsidP="00A50849">
      <w:pPr>
        <w:pStyle w:val="Heading2"/>
      </w:pPr>
      <w:r w:rsidRPr="00872114">
        <w:t>References</w:t>
      </w:r>
    </w:p>
    <w:p w14:paraId="6E86779B" w14:textId="00FA02B5" w:rsidR="00663465" w:rsidRDefault="00663465" w:rsidP="00663465">
      <w:pPr>
        <w:pStyle w:val="ReferenceOrdered"/>
      </w:pPr>
      <w:r w:rsidRPr="00663465">
        <w:t>Tecentriq</w:t>
      </w:r>
      <w:r w:rsidR="00B86A95">
        <w:t xml:space="preserve"> </w:t>
      </w:r>
      <w:proofErr w:type="spellStart"/>
      <w:r w:rsidR="00B86A95">
        <w:t>Hybreza</w:t>
      </w:r>
      <w:proofErr w:type="spellEnd"/>
      <w:r w:rsidRPr="00663465">
        <w:t xml:space="preserve"> [package insert]. South San Francisco, CA: Genentech, Inc.; </w:t>
      </w:r>
      <w:r>
        <w:t>September</w:t>
      </w:r>
      <w:r w:rsidRPr="00663465">
        <w:t xml:space="preserve"> 202</w:t>
      </w:r>
      <w:r>
        <w:t>4</w:t>
      </w:r>
      <w:r w:rsidRPr="00663465">
        <w:t>.</w:t>
      </w:r>
    </w:p>
    <w:p w14:paraId="5D10BB0C" w14:textId="10981958" w:rsidR="007802C3" w:rsidRPr="00663465" w:rsidRDefault="007802C3" w:rsidP="00663465">
      <w:pPr>
        <w:pStyle w:val="ReferenceOrdered"/>
      </w:pPr>
      <w:r w:rsidRPr="007802C3">
        <w:t>The NCCN Drugs &amp; Biologics Compendium® © 202</w:t>
      </w:r>
      <w:r w:rsidR="00771AEC">
        <w:t>5</w:t>
      </w:r>
      <w:r>
        <w:t xml:space="preserve"> </w:t>
      </w:r>
      <w:r w:rsidRPr="007802C3">
        <w:t>National Comprehensive Cancer Network, Inc. Available at: https://www.nccn.org. Accessed</w:t>
      </w:r>
      <w:r>
        <w:t xml:space="preserve"> </w:t>
      </w:r>
      <w:r w:rsidR="00771AEC">
        <w:t>May 5</w:t>
      </w:r>
      <w:r>
        <w:t>, 202</w:t>
      </w:r>
      <w:r w:rsidR="00771AEC">
        <w:t>5</w:t>
      </w:r>
      <w:r>
        <w:t>.</w:t>
      </w:r>
    </w:p>
    <w:sectPr w:rsidR="007802C3" w:rsidRPr="00663465" w:rsidSect="00385ED1">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D0C3A" w14:textId="77777777" w:rsidR="005C459C" w:rsidRDefault="005C459C">
      <w:r>
        <w:separator/>
      </w:r>
    </w:p>
  </w:endnote>
  <w:endnote w:type="continuationSeparator" w:id="0">
    <w:p w14:paraId="4BAA642E" w14:textId="77777777" w:rsidR="005C459C" w:rsidRDefault="005C459C">
      <w:r>
        <w:continuationSeparator/>
      </w:r>
    </w:p>
  </w:endnote>
  <w:endnote w:type="continuationNotice" w:id="1">
    <w:p w14:paraId="32D61D99" w14:textId="77777777" w:rsidR="005C459C" w:rsidRDefault="005C4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3DAE04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414B6" w:rsidRPr="00F414B6">
      <w:rPr>
        <w:rFonts w:cs="Arial"/>
        <w:noProof/>
        <w:sz w:val="16"/>
        <w:szCs w:val="16"/>
      </w:rPr>
      <w:t>Tecentriq</w:t>
    </w:r>
    <w:r w:rsidR="00F414B6">
      <w:rPr>
        <w:rFonts w:cs="Arial"/>
        <w:noProof/>
        <w:snapToGrid w:val="0"/>
        <w:color w:val="000000"/>
        <w:sz w:val="16"/>
        <w:szCs w:val="16"/>
      </w:rPr>
      <w:t xml:space="preserve"> Hybreza SGM</w:t>
    </w:r>
    <w:r w:rsidR="00F414B6" w:rsidRPr="00F414B6">
      <w:rPr>
        <w:rFonts w:cs="Arial"/>
        <w:noProof/>
        <w:sz w:val="16"/>
        <w:szCs w:val="16"/>
      </w:rPr>
      <w:t xml:space="preserve"> 6665-A</w:t>
    </w:r>
    <w:r w:rsidR="00F414B6">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A96955">
      <w:rPr>
        <w:rFonts w:cs="Arial"/>
        <w:snapToGrid w:val="0"/>
        <w:color w:val="000000"/>
        <w:sz w:val="16"/>
      </w:rPr>
      <w:t>5</w:t>
    </w:r>
    <w:r w:rsidRPr="00EC47B6">
      <w:rPr>
        <w:rFonts w:cs="Arial"/>
        <w:snapToGrid w:val="0"/>
        <w:color w:val="000000"/>
        <w:sz w:val="16"/>
      </w:rPr>
      <w:t xml:space="preserve"> CVS Caremark. All rights reserved.</w:t>
    </w:r>
  </w:p>
  <w:p w14:paraId="61CF5924" w14:textId="7777777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0DF8DEBC" w14:textId="2106E54B" w:rsidR="00F75C81" w:rsidRPr="007E3253" w:rsidRDefault="00C36B72" w:rsidP="007E3253">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A81722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03A01" w:rsidRPr="00503A01">
      <w:t xml:space="preserve"> </w:t>
    </w:r>
    <w:r w:rsidR="00503A01" w:rsidRPr="00503A01">
      <w:rPr>
        <w:rFonts w:cs="Arial"/>
        <w:noProof/>
        <w:sz w:val="16"/>
        <w:szCs w:val="16"/>
      </w:rPr>
      <w:t>Tecentriq Hybreza 6665-A SGM 2024</w:t>
    </w:r>
    <w:r w:rsidR="00503A01">
      <w:rPr>
        <w:rFonts w:cs="Arial"/>
        <w:noProof/>
        <w:sz w:val="16"/>
        <w:szCs w:val="16"/>
      </w:rPr>
      <w:t xml:space="preserve"> DRAFT</w:t>
    </w:r>
    <w:r w:rsidR="00872114" w:rsidRPr="00872114">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p w14:paraId="64F317B8" w14:textId="0C2691AD" w:rsidR="00ED04EC" w:rsidRPr="00F50D98" w:rsidRDefault="00ED04EC"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3F6F6" w14:textId="77777777" w:rsidR="005C459C" w:rsidRDefault="005C459C">
      <w:r>
        <w:separator/>
      </w:r>
    </w:p>
  </w:footnote>
  <w:footnote w:type="continuationSeparator" w:id="0">
    <w:p w14:paraId="683164F5" w14:textId="77777777" w:rsidR="005C459C" w:rsidRDefault="005C459C">
      <w:r>
        <w:continuationSeparator/>
      </w:r>
    </w:p>
  </w:footnote>
  <w:footnote w:type="continuationNotice" w:id="1">
    <w:p w14:paraId="3E0F4BC1" w14:textId="77777777" w:rsidR="005C459C" w:rsidRDefault="005C45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872114" w14:paraId="16262E63" w14:textId="77777777">
      <w:trPr>
        <w:trHeight w:val="144"/>
        <w:jc w:val="right"/>
      </w:trPr>
      <w:tc>
        <w:tcPr>
          <w:tcW w:w="1854" w:type="dxa"/>
          <w:hideMark/>
        </w:tcPr>
        <w:p w14:paraId="18F550B7" w14:textId="77777777" w:rsidR="00ED04EC" w:rsidRPr="00872114" w:rsidRDefault="00ED04EC" w:rsidP="00ED04EC">
          <w:pPr>
            <w:pStyle w:val="Header"/>
            <w:rPr>
              <w:rFonts w:cs="Arial"/>
              <w:sz w:val="16"/>
              <w:szCs w:val="16"/>
            </w:rPr>
          </w:pPr>
          <w:r w:rsidRPr="00872114">
            <w:rPr>
              <w:rFonts w:cs="Arial"/>
              <w:sz w:val="16"/>
              <w:szCs w:val="16"/>
            </w:rPr>
            <w:t>Reference number(s)</w:t>
          </w:r>
        </w:p>
      </w:tc>
    </w:tr>
    <w:tr w:rsidR="00ED04EC" w:rsidRPr="00872114" w14:paraId="703C6588" w14:textId="77777777">
      <w:trPr>
        <w:trHeight w:val="378"/>
        <w:jc w:val="right"/>
      </w:trPr>
      <w:tc>
        <w:tcPr>
          <w:tcW w:w="1854" w:type="dxa"/>
          <w:hideMark/>
        </w:tcPr>
        <w:p w14:paraId="51CE3E64" w14:textId="50D08E5D" w:rsidR="00ED04EC" w:rsidRPr="00872114" w:rsidRDefault="001A49C2" w:rsidP="00ED04EC">
          <w:pPr>
            <w:pStyle w:val="Header"/>
            <w:rPr>
              <w:rFonts w:cs="Arial"/>
              <w:sz w:val="16"/>
              <w:szCs w:val="16"/>
            </w:rPr>
          </w:pPr>
          <w:r>
            <w:rPr>
              <w:rFonts w:cs="Arial"/>
              <w:sz w:val="16"/>
              <w:szCs w:val="16"/>
            </w:rPr>
            <w:t>6665</w:t>
          </w:r>
          <w:r w:rsidR="002239F5" w:rsidRPr="00872114">
            <w:rPr>
              <w:rFonts w:cs="Arial"/>
              <w:sz w:val="16"/>
              <w:szCs w:val="16"/>
            </w:rPr>
            <w:t>-A</w:t>
          </w:r>
        </w:p>
      </w:tc>
    </w:tr>
  </w:tbl>
  <w:p w14:paraId="0D5ACCC2" w14:textId="462A1075" w:rsidR="00ED04EC" w:rsidRPr="00872114"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440385E"/>
    <w:multiLevelType w:val="hybridMultilevel"/>
    <w:tmpl w:val="71F8B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8C5D43"/>
    <w:multiLevelType w:val="hybridMultilevel"/>
    <w:tmpl w:val="5802A1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A57799"/>
    <w:multiLevelType w:val="hybridMultilevel"/>
    <w:tmpl w:val="8E665DC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D1F6274"/>
    <w:multiLevelType w:val="hybridMultilevel"/>
    <w:tmpl w:val="6D52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0076707"/>
    <w:multiLevelType w:val="hybridMultilevel"/>
    <w:tmpl w:val="21B463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09765D7"/>
    <w:multiLevelType w:val="hybridMultilevel"/>
    <w:tmpl w:val="4B56B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DE558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4E0525B"/>
    <w:multiLevelType w:val="hybridMultilevel"/>
    <w:tmpl w:val="7470728E"/>
    <w:lvl w:ilvl="0" w:tplc="2F3A0F78">
      <w:start w:val="2"/>
      <w:numFmt w:val="decimal"/>
      <w:lvlText w:val="%1."/>
      <w:lvlJc w:val="left"/>
      <w:pPr>
        <w:ind w:left="144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EE3241"/>
    <w:multiLevelType w:val="hybridMultilevel"/>
    <w:tmpl w:val="49E89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4F78F0"/>
    <w:multiLevelType w:val="hybridMultilevel"/>
    <w:tmpl w:val="AD727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ED2443"/>
    <w:multiLevelType w:val="hybridMultilevel"/>
    <w:tmpl w:val="9A8428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501215"/>
    <w:multiLevelType w:val="hybridMultilevel"/>
    <w:tmpl w:val="3FD64B9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F937D6"/>
    <w:multiLevelType w:val="hybridMultilevel"/>
    <w:tmpl w:val="A2868392"/>
    <w:lvl w:ilvl="0" w:tplc="04090019">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0" w15:restartNumberingAfterBreak="0">
    <w:nsid w:val="6EEB78B2"/>
    <w:multiLevelType w:val="multilevel"/>
    <w:tmpl w:val="20F6E5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2E625F3"/>
    <w:multiLevelType w:val="hybridMultilevel"/>
    <w:tmpl w:val="A140876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0E4EBB"/>
    <w:multiLevelType w:val="hybridMultilevel"/>
    <w:tmpl w:val="627C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EB53F4E"/>
    <w:multiLevelType w:val="hybridMultilevel"/>
    <w:tmpl w:val="8E665D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64921869">
    <w:abstractNumId w:val="14"/>
  </w:num>
  <w:num w:numId="2" w16cid:durableId="606935877">
    <w:abstractNumId w:val="35"/>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5"/>
  </w:num>
  <w:num w:numId="17" w16cid:durableId="2128498676">
    <w:abstractNumId w:val="42"/>
  </w:num>
  <w:num w:numId="18" w16cid:durableId="299724409">
    <w:abstractNumId w:val="32"/>
  </w:num>
  <w:num w:numId="19" w16cid:durableId="214585573">
    <w:abstractNumId w:val="17"/>
  </w:num>
  <w:num w:numId="20" w16cid:durableId="1289816170">
    <w:abstractNumId w:val="19"/>
  </w:num>
  <w:num w:numId="21" w16cid:durableId="1066490929">
    <w:abstractNumId w:val="44"/>
  </w:num>
  <w:num w:numId="22" w16cid:durableId="1472481103">
    <w:abstractNumId w:val="34"/>
  </w:num>
  <w:num w:numId="23" w16cid:durableId="1997420403">
    <w:abstractNumId w:val="37"/>
  </w:num>
  <w:num w:numId="24" w16cid:durableId="33312838">
    <w:abstractNumId w:val="33"/>
  </w:num>
  <w:num w:numId="25" w16cid:durableId="507404939">
    <w:abstractNumId w:val="24"/>
  </w:num>
  <w:num w:numId="26" w16cid:durableId="1950313333">
    <w:abstractNumId w:val="28"/>
  </w:num>
  <w:num w:numId="27" w16cid:durableId="1866016584">
    <w:abstractNumId w:val="26"/>
  </w:num>
  <w:num w:numId="28" w16cid:durableId="906572609">
    <w:abstractNumId w:val="38"/>
  </w:num>
  <w:num w:numId="29" w16cid:durableId="1822385518">
    <w:abstractNumId w:val="10"/>
  </w:num>
  <w:num w:numId="30" w16cid:durableId="1535574897">
    <w:abstractNumId w:val="41"/>
  </w:num>
  <w:num w:numId="31" w16cid:durableId="1915049775">
    <w:abstractNumId w:val="45"/>
  </w:num>
  <w:num w:numId="32" w16cid:durableId="1667710710">
    <w:abstractNumId w:val="36"/>
  </w:num>
  <w:num w:numId="33" w16cid:durableId="480313776">
    <w:abstractNumId w:val="16"/>
  </w:num>
  <w:num w:numId="34" w16cid:durableId="1962832733">
    <w:abstractNumId w:val="13"/>
  </w:num>
  <w:num w:numId="35" w16cid:durableId="599604875">
    <w:abstractNumId w:val="20"/>
  </w:num>
  <w:num w:numId="36" w16cid:durableId="110068187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4780899">
    <w:abstractNumId w:val="39"/>
  </w:num>
  <w:num w:numId="38" w16cid:durableId="96778648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67402169">
    <w:abstractNumId w:val="22"/>
  </w:num>
  <w:num w:numId="40" w16cid:durableId="18961192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61758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29590711">
    <w:abstractNumId w:val="11"/>
  </w:num>
  <w:num w:numId="43" w16cid:durableId="79377192">
    <w:abstractNumId w:val="27"/>
  </w:num>
  <w:num w:numId="44" w16cid:durableId="1831822932">
    <w:abstractNumId w:val="43"/>
  </w:num>
  <w:num w:numId="45" w16cid:durableId="1535926048">
    <w:abstractNumId w:val="21"/>
  </w:num>
  <w:num w:numId="46" w16cid:durableId="174391938">
    <w:abstractNumId w:val="18"/>
  </w:num>
  <w:num w:numId="47" w16cid:durableId="34232114">
    <w:abstractNumId w:val="31"/>
  </w:num>
  <w:num w:numId="48" w16cid:durableId="194319889">
    <w:abstractNumId w:val="21"/>
  </w:num>
  <w:num w:numId="49" w16cid:durableId="96295091">
    <w:abstractNumId w:val="40"/>
  </w:num>
  <w:num w:numId="50" w16cid:durableId="35471382">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2A8C"/>
    <w:rsid w:val="0003572F"/>
    <w:rsid w:val="00036079"/>
    <w:rsid w:val="00037636"/>
    <w:rsid w:val="00037A95"/>
    <w:rsid w:val="00041200"/>
    <w:rsid w:val="0004226E"/>
    <w:rsid w:val="000425B0"/>
    <w:rsid w:val="00042C96"/>
    <w:rsid w:val="00043056"/>
    <w:rsid w:val="0004480D"/>
    <w:rsid w:val="00046912"/>
    <w:rsid w:val="00046BD3"/>
    <w:rsid w:val="00046C3C"/>
    <w:rsid w:val="0004753B"/>
    <w:rsid w:val="00047680"/>
    <w:rsid w:val="00047C5A"/>
    <w:rsid w:val="00050B10"/>
    <w:rsid w:val="00051356"/>
    <w:rsid w:val="00051699"/>
    <w:rsid w:val="000517FF"/>
    <w:rsid w:val="0005206D"/>
    <w:rsid w:val="00052366"/>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4CCD"/>
    <w:rsid w:val="000755C3"/>
    <w:rsid w:val="00075C18"/>
    <w:rsid w:val="000760A2"/>
    <w:rsid w:val="000760F2"/>
    <w:rsid w:val="000767AE"/>
    <w:rsid w:val="00076FED"/>
    <w:rsid w:val="000771F0"/>
    <w:rsid w:val="00077C0D"/>
    <w:rsid w:val="00080866"/>
    <w:rsid w:val="00080D44"/>
    <w:rsid w:val="00081951"/>
    <w:rsid w:val="00081D8C"/>
    <w:rsid w:val="00081F48"/>
    <w:rsid w:val="00082357"/>
    <w:rsid w:val="00082825"/>
    <w:rsid w:val="00082CE9"/>
    <w:rsid w:val="000837A5"/>
    <w:rsid w:val="00083890"/>
    <w:rsid w:val="00083E63"/>
    <w:rsid w:val="00083FC9"/>
    <w:rsid w:val="0008515F"/>
    <w:rsid w:val="00085375"/>
    <w:rsid w:val="00085913"/>
    <w:rsid w:val="00085AB4"/>
    <w:rsid w:val="00085D37"/>
    <w:rsid w:val="00086953"/>
    <w:rsid w:val="00087DB9"/>
    <w:rsid w:val="00090142"/>
    <w:rsid w:val="000905CF"/>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3377"/>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0F77D5"/>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185"/>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7C0"/>
    <w:rsid w:val="00150AFC"/>
    <w:rsid w:val="00151DA8"/>
    <w:rsid w:val="00152135"/>
    <w:rsid w:val="00153164"/>
    <w:rsid w:val="00154752"/>
    <w:rsid w:val="00154B0F"/>
    <w:rsid w:val="00154E30"/>
    <w:rsid w:val="00155A51"/>
    <w:rsid w:val="001560C4"/>
    <w:rsid w:val="00156A50"/>
    <w:rsid w:val="00156B77"/>
    <w:rsid w:val="00156E31"/>
    <w:rsid w:val="00160472"/>
    <w:rsid w:val="0016101E"/>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88F"/>
    <w:rsid w:val="001A2987"/>
    <w:rsid w:val="001A320A"/>
    <w:rsid w:val="001A33ED"/>
    <w:rsid w:val="001A432B"/>
    <w:rsid w:val="001A432C"/>
    <w:rsid w:val="001A49C2"/>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5EC6"/>
    <w:rsid w:val="001F6065"/>
    <w:rsid w:val="001F629F"/>
    <w:rsid w:val="001F6363"/>
    <w:rsid w:val="001F6373"/>
    <w:rsid w:val="001F6F6F"/>
    <w:rsid w:val="002017F4"/>
    <w:rsid w:val="0020279F"/>
    <w:rsid w:val="002027FF"/>
    <w:rsid w:val="00202A61"/>
    <w:rsid w:val="00202E2F"/>
    <w:rsid w:val="00203468"/>
    <w:rsid w:val="002036D7"/>
    <w:rsid w:val="00203884"/>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9F5"/>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644C"/>
    <w:rsid w:val="00247014"/>
    <w:rsid w:val="002504F9"/>
    <w:rsid w:val="00250C39"/>
    <w:rsid w:val="00250E25"/>
    <w:rsid w:val="002517B2"/>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2CB"/>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4F92"/>
    <w:rsid w:val="002D6257"/>
    <w:rsid w:val="002D6987"/>
    <w:rsid w:val="002E030E"/>
    <w:rsid w:val="002E06B0"/>
    <w:rsid w:val="002E15A0"/>
    <w:rsid w:val="002E1D9A"/>
    <w:rsid w:val="002E254D"/>
    <w:rsid w:val="002E362E"/>
    <w:rsid w:val="002E3C61"/>
    <w:rsid w:val="002E3D87"/>
    <w:rsid w:val="002E5C63"/>
    <w:rsid w:val="002E6232"/>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1C2"/>
    <w:rsid w:val="003753D0"/>
    <w:rsid w:val="003756FF"/>
    <w:rsid w:val="0037580F"/>
    <w:rsid w:val="00375EDA"/>
    <w:rsid w:val="0037664E"/>
    <w:rsid w:val="003777A6"/>
    <w:rsid w:val="00377D50"/>
    <w:rsid w:val="00380F81"/>
    <w:rsid w:val="00381B05"/>
    <w:rsid w:val="00381B16"/>
    <w:rsid w:val="0038248C"/>
    <w:rsid w:val="00382C29"/>
    <w:rsid w:val="00382C85"/>
    <w:rsid w:val="0038309E"/>
    <w:rsid w:val="00384D85"/>
    <w:rsid w:val="0038594B"/>
    <w:rsid w:val="00385C81"/>
    <w:rsid w:val="00385ED1"/>
    <w:rsid w:val="00386F82"/>
    <w:rsid w:val="0039012A"/>
    <w:rsid w:val="003904B1"/>
    <w:rsid w:val="00390BD4"/>
    <w:rsid w:val="00391311"/>
    <w:rsid w:val="003915B9"/>
    <w:rsid w:val="0039194A"/>
    <w:rsid w:val="00391A39"/>
    <w:rsid w:val="00391F5A"/>
    <w:rsid w:val="003936BB"/>
    <w:rsid w:val="00393961"/>
    <w:rsid w:val="00394467"/>
    <w:rsid w:val="00394980"/>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AF6"/>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97C"/>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6D02"/>
    <w:rsid w:val="00407C38"/>
    <w:rsid w:val="0041023B"/>
    <w:rsid w:val="0041061B"/>
    <w:rsid w:val="00411195"/>
    <w:rsid w:val="00411413"/>
    <w:rsid w:val="00411798"/>
    <w:rsid w:val="004127A0"/>
    <w:rsid w:val="00412ABD"/>
    <w:rsid w:val="00412BDB"/>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2937"/>
    <w:rsid w:val="00433A31"/>
    <w:rsid w:val="00433E3A"/>
    <w:rsid w:val="00433EE2"/>
    <w:rsid w:val="004357BB"/>
    <w:rsid w:val="00435A60"/>
    <w:rsid w:val="00437BFC"/>
    <w:rsid w:val="00437D53"/>
    <w:rsid w:val="0044040B"/>
    <w:rsid w:val="004405EB"/>
    <w:rsid w:val="0044080D"/>
    <w:rsid w:val="00440CEF"/>
    <w:rsid w:val="004414EF"/>
    <w:rsid w:val="00441BD2"/>
    <w:rsid w:val="004421AD"/>
    <w:rsid w:val="004424D5"/>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4B5"/>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58BE"/>
    <w:rsid w:val="004C64EE"/>
    <w:rsid w:val="004C6FCE"/>
    <w:rsid w:val="004C790C"/>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389"/>
    <w:rsid w:val="004F5885"/>
    <w:rsid w:val="004F5DCE"/>
    <w:rsid w:val="004F6DE0"/>
    <w:rsid w:val="004F71F1"/>
    <w:rsid w:val="004F7DE7"/>
    <w:rsid w:val="004F7DFB"/>
    <w:rsid w:val="005012C1"/>
    <w:rsid w:val="00501602"/>
    <w:rsid w:val="00501EDE"/>
    <w:rsid w:val="00502535"/>
    <w:rsid w:val="005026A9"/>
    <w:rsid w:val="005036A0"/>
    <w:rsid w:val="005038FC"/>
    <w:rsid w:val="00503A01"/>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2B4"/>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151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2648"/>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5EC"/>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863"/>
    <w:rsid w:val="00597BF2"/>
    <w:rsid w:val="005A015C"/>
    <w:rsid w:val="005A04AA"/>
    <w:rsid w:val="005A09BB"/>
    <w:rsid w:val="005A0E43"/>
    <w:rsid w:val="005A2D15"/>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2F06"/>
    <w:rsid w:val="005B425D"/>
    <w:rsid w:val="005B496D"/>
    <w:rsid w:val="005B4D7C"/>
    <w:rsid w:val="005B52C4"/>
    <w:rsid w:val="005C026B"/>
    <w:rsid w:val="005C0790"/>
    <w:rsid w:val="005C194C"/>
    <w:rsid w:val="005C2667"/>
    <w:rsid w:val="005C295A"/>
    <w:rsid w:val="005C2C21"/>
    <w:rsid w:val="005C3B4F"/>
    <w:rsid w:val="005C44D1"/>
    <w:rsid w:val="005C459C"/>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465"/>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3D93"/>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73"/>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0C2E"/>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1AEC"/>
    <w:rsid w:val="00772C13"/>
    <w:rsid w:val="00773060"/>
    <w:rsid w:val="00773513"/>
    <w:rsid w:val="0077365E"/>
    <w:rsid w:val="007741BD"/>
    <w:rsid w:val="0077473F"/>
    <w:rsid w:val="00775C9E"/>
    <w:rsid w:val="007775AA"/>
    <w:rsid w:val="00777708"/>
    <w:rsid w:val="007778B0"/>
    <w:rsid w:val="00777BDA"/>
    <w:rsid w:val="007802C3"/>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3253"/>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36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114"/>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AB7"/>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06E"/>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7F1"/>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7B58"/>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9FB"/>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1E3"/>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3AF7"/>
    <w:rsid w:val="0094553A"/>
    <w:rsid w:val="00946CDC"/>
    <w:rsid w:val="00946F89"/>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1A75"/>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A41"/>
    <w:rsid w:val="00996EF4"/>
    <w:rsid w:val="009973BE"/>
    <w:rsid w:val="00997849"/>
    <w:rsid w:val="009A0FE4"/>
    <w:rsid w:val="009A1480"/>
    <w:rsid w:val="009A1632"/>
    <w:rsid w:val="009A2325"/>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6859"/>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8A8"/>
    <w:rsid w:val="009E35D3"/>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59AF"/>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0F84"/>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4EB5"/>
    <w:rsid w:val="00A45E92"/>
    <w:rsid w:val="00A46FB9"/>
    <w:rsid w:val="00A47199"/>
    <w:rsid w:val="00A501AC"/>
    <w:rsid w:val="00A503F6"/>
    <w:rsid w:val="00A50452"/>
    <w:rsid w:val="00A50849"/>
    <w:rsid w:val="00A508DC"/>
    <w:rsid w:val="00A511FF"/>
    <w:rsid w:val="00A51559"/>
    <w:rsid w:val="00A51681"/>
    <w:rsid w:val="00A51EB0"/>
    <w:rsid w:val="00A52861"/>
    <w:rsid w:val="00A52A2C"/>
    <w:rsid w:val="00A548C6"/>
    <w:rsid w:val="00A54C2F"/>
    <w:rsid w:val="00A55507"/>
    <w:rsid w:val="00A56451"/>
    <w:rsid w:val="00A57245"/>
    <w:rsid w:val="00A57276"/>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3B96"/>
    <w:rsid w:val="00A94105"/>
    <w:rsid w:val="00A946C6"/>
    <w:rsid w:val="00A94A0D"/>
    <w:rsid w:val="00A9526B"/>
    <w:rsid w:val="00A96221"/>
    <w:rsid w:val="00A96256"/>
    <w:rsid w:val="00A96955"/>
    <w:rsid w:val="00A96A09"/>
    <w:rsid w:val="00A97765"/>
    <w:rsid w:val="00AA0497"/>
    <w:rsid w:val="00AA0955"/>
    <w:rsid w:val="00AA1E6A"/>
    <w:rsid w:val="00AA2744"/>
    <w:rsid w:val="00AA2A94"/>
    <w:rsid w:val="00AA3266"/>
    <w:rsid w:val="00AA3F55"/>
    <w:rsid w:val="00AA401C"/>
    <w:rsid w:val="00AA46E5"/>
    <w:rsid w:val="00AA46E6"/>
    <w:rsid w:val="00AA4E3C"/>
    <w:rsid w:val="00AA5FEE"/>
    <w:rsid w:val="00AA6624"/>
    <w:rsid w:val="00AA6E94"/>
    <w:rsid w:val="00AA7217"/>
    <w:rsid w:val="00AA7BA2"/>
    <w:rsid w:val="00AA7BC6"/>
    <w:rsid w:val="00AA7D6B"/>
    <w:rsid w:val="00AB03C3"/>
    <w:rsid w:val="00AB060C"/>
    <w:rsid w:val="00AB07BF"/>
    <w:rsid w:val="00AB0812"/>
    <w:rsid w:val="00AB09BC"/>
    <w:rsid w:val="00AB105B"/>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1F5B"/>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D7851"/>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3E56"/>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24D"/>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11"/>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7C6"/>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5DFF"/>
    <w:rsid w:val="00B860C8"/>
    <w:rsid w:val="00B86A95"/>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49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D7674"/>
    <w:rsid w:val="00BE00DA"/>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E7F43"/>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B8"/>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3A4"/>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0CCB"/>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B51"/>
    <w:rsid w:val="00CD6E3C"/>
    <w:rsid w:val="00CD74BA"/>
    <w:rsid w:val="00CE0B55"/>
    <w:rsid w:val="00CE0E3E"/>
    <w:rsid w:val="00CE1153"/>
    <w:rsid w:val="00CE12A6"/>
    <w:rsid w:val="00CE1968"/>
    <w:rsid w:val="00CE1CC9"/>
    <w:rsid w:val="00CE2909"/>
    <w:rsid w:val="00CE317E"/>
    <w:rsid w:val="00CE409F"/>
    <w:rsid w:val="00CE4870"/>
    <w:rsid w:val="00CE4A22"/>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CCD"/>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331"/>
    <w:rsid w:val="00D314DB"/>
    <w:rsid w:val="00D31A54"/>
    <w:rsid w:val="00D32E0D"/>
    <w:rsid w:val="00D33412"/>
    <w:rsid w:val="00D3355C"/>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5D1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5B6A"/>
    <w:rsid w:val="00D8615B"/>
    <w:rsid w:val="00D86C92"/>
    <w:rsid w:val="00D86F3B"/>
    <w:rsid w:val="00D8714F"/>
    <w:rsid w:val="00D87F36"/>
    <w:rsid w:val="00D901FE"/>
    <w:rsid w:val="00D9125F"/>
    <w:rsid w:val="00D91451"/>
    <w:rsid w:val="00D9169B"/>
    <w:rsid w:val="00D91B68"/>
    <w:rsid w:val="00D91BC0"/>
    <w:rsid w:val="00D926EB"/>
    <w:rsid w:val="00D9342A"/>
    <w:rsid w:val="00D94985"/>
    <w:rsid w:val="00D956AE"/>
    <w:rsid w:val="00D95A0D"/>
    <w:rsid w:val="00D95E62"/>
    <w:rsid w:val="00D97119"/>
    <w:rsid w:val="00D974E4"/>
    <w:rsid w:val="00D97A46"/>
    <w:rsid w:val="00D97B49"/>
    <w:rsid w:val="00DA0219"/>
    <w:rsid w:val="00DA05D5"/>
    <w:rsid w:val="00DA0924"/>
    <w:rsid w:val="00DA29A1"/>
    <w:rsid w:val="00DA2BE1"/>
    <w:rsid w:val="00DA38D5"/>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6E3"/>
    <w:rsid w:val="00DB793D"/>
    <w:rsid w:val="00DC1591"/>
    <w:rsid w:val="00DC2163"/>
    <w:rsid w:val="00DC2997"/>
    <w:rsid w:val="00DC3267"/>
    <w:rsid w:val="00DC34C2"/>
    <w:rsid w:val="00DC46DA"/>
    <w:rsid w:val="00DC495F"/>
    <w:rsid w:val="00DC4F07"/>
    <w:rsid w:val="00DC4F31"/>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D1A"/>
    <w:rsid w:val="00DF5638"/>
    <w:rsid w:val="00DF5C9E"/>
    <w:rsid w:val="00DF63C8"/>
    <w:rsid w:val="00DF64CA"/>
    <w:rsid w:val="00DF6C92"/>
    <w:rsid w:val="00DF7DD5"/>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73F5"/>
    <w:rsid w:val="00E20E34"/>
    <w:rsid w:val="00E212B1"/>
    <w:rsid w:val="00E21380"/>
    <w:rsid w:val="00E21E0B"/>
    <w:rsid w:val="00E225DC"/>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A63"/>
    <w:rsid w:val="00E71F28"/>
    <w:rsid w:val="00E738B8"/>
    <w:rsid w:val="00E744D4"/>
    <w:rsid w:val="00E747F5"/>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806"/>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4FF2"/>
    <w:rsid w:val="00E9591C"/>
    <w:rsid w:val="00E95D04"/>
    <w:rsid w:val="00E96C6E"/>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D12"/>
    <w:rsid w:val="00F16EAA"/>
    <w:rsid w:val="00F1748F"/>
    <w:rsid w:val="00F17594"/>
    <w:rsid w:val="00F17E4B"/>
    <w:rsid w:val="00F2074F"/>
    <w:rsid w:val="00F20D01"/>
    <w:rsid w:val="00F21995"/>
    <w:rsid w:val="00F21B41"/>
    <w:rsid w:val="00F22499"/>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4B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3D7D"/>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97AEA"/>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4C3"/>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03"/>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aliases w:val="aria"/>
    <w:basedOn w:val="Normal"/>
    <w:link w:val="CommentTextChar"/>
    <w:rsid w:val="00151DA8"/>
  </w:style>
  <w:style w:type="character" w:customStyle="1" w:styleId="CommentTextChar">
    <w:name w:val="Comment Text Char"/>
    <w:aliases w:val="aria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61934327">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5ECA0879-1838-4386-BD8D-B0FA8DDE76BF}"/>
</file>

<file path=docProps/app.xml><?xml version="1.0" encoding="utf-8"?>
<Properties xmlns="http://schemas.openxmlformats.org/officeDocument/2006/extended-properties" xmlns:vt="http://schemas.openxmlformats.org/officeDocument/2006/docPropsVTypes">
  <Template>Normal.dotm</Template>
  <TotalTime>2</TotalTime>
  <Pages>5</Pages>
  <Words>1115</Words>
  <Characters>6356</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Jemperli SGM 4705-A 2023</vt:lpstr>
      <vt:lpstr>Specialty Guideline Management Tecentriq Hybreza</vt:lpstr>
      <vt:lpstr>    Products Referenced by this Document</vt:lpstr>
      <vt:lpstr>    Indications </vt:lpstr>
      <vt:lpstr>        FDA-approved Indications1</vt:lpstr>
      <vt:lpstr>        Compendial Uses2</vt:lpstr>
      <vt:lpstr>    Documentation</vt:lpstr>
      <vt:lpstr>    Exclusions</vt:lpstr>
      <vt:lpstr>    Coverage Criteria</vt:lpstr>
      <vt:lpstr>        Non Small Cell Lung Cancer (NSCLC) 1,2 </vt:lpstr>
      <vt:lpstr>        Small Cell Lung Cancer (SCLC)1,2</vt:lpstr>
      <vt:lpstr>        Hepatocellular Carcinoma (HCC)1,2</vt:lpstr>
      <vt:lpstr>        Melanoma1,2</vt:lpstr>
      <vt:lpstr>        Alveolar Soft Part Sarcoma (ASPS)1,2</vt:lpstr>
      <vt:lpstr>        Mesothelioma2</vt:lpstr>
      <vt:lpstr>        Cervical Cancer2</vt:lpstr>
      <vt:lpstr>    Continuation of Therapy</vt:lpstr>
      <vt:lpstr>        Adjuvant treatment of Hepatocellular Carcinoma (HCC) or Non-Small Cell Lung Canc</vt:lpstr>
      <vt:lpstr>        All other indications</vt:lpstr>
      <vt:lpstr>    References</vt:lpstr>
      <vt:lpstr>    Document History</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Tecentriq Hybreza SGM 6665-A</dc:title>
  <dc:subject>Tecentriq Hybreza SGM 6665-A</dc:subject>
  <dc:creator>CVS Caremark</dc:creator>
  <cp:keywords/>
  <cp:lastModifiedBy>Ortiz, Erica M</cp:lastModifiedBy>
  <cp:revision>5</cp:revision>
  <cp:lastPrinted>2018-01-09T11:01:00Z</cp:lastPrinted>
  <dcterms:created xsi:type="dcterms:W3CDTF">2025-06-06T13:45:00Z</dcterms:created>
  <dcterms:modified xsi:type="dcterms:W3CDTF">2025-06-06T13:47:00Z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1763500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